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6935F" w14:textId="77777777" w:rsidR="00B74308" w:rsidRPr="00F029C2" w:rsidRDefault="00B74308" w:rsidP="00D16E1B">
      <w:pPr>
        <w:pStyle w:val="ListParagraph"/>
        <w:ind w:left="0"/>
        <w:rPr>
          <w:rFonts w:cstheme="minorHAnsi"/>
          <w:b/>
          <w:bCs/>
          <w:color w:val="A41D3E"/>
          <w:sz w:val="28"/>
          <w:szCs w:val="28"/>
        </w:rPr>
      </w:pPr>
      <w:r w:rsidRPr="00F029C2">
        <w:rPr>
          <w:rFonts w:cstheme="minorHAnsi"/>
          <w:b/>
          <w:bCs/>
          <w:color w:val="A41D3E"/>
          <w:sz w:val="28"/>
          <w:szCs w:val="28"/>
        </w:rPr>
        <w:t xml:space="preserve">Toolkit Planning Assumptions </w:t>
      </w:r>
    </w:p>
    <w:p w14:paraId="5522F45A" w14:textId="77777777" w:rsidR="00B74308" w:rsidRPr="00F029C2" w:rsidRDefault="00B74308" w:rsidP="00D16E1B">
      <w:pPr>
        <w:pStyle w:val="ListParagraph"/>
        <w:ind w:left="0"/>
        <w:rPr>
          <w:rFonts w:cstheme="minorHAnsi"/>
          <w:b/>
          <w:bCs/>
          <w:color w:val="A41D3E"/>
          <w:sz w:val="20"/>
          <w:szCs w:val="20"/>
        </w:rPr>
      </w:pPr>
    </w:p>
    <w:p w14:paraId="2D7B56EA" w14:textId="5A0DB94B" w:rsidR="00CB4867" w:rsidRPr="00F029C2" w:rsidRDefault="00B74308" w:rsidP="00D16E1B">
      <w:pPr>
        <w:pStyle w:val="ListParagraph"/>
        <w:ind w:left="0"/>
        <w:rPr>
          <w:rFonts w:cstheme="minorHAnsi"/>
          <w:color w:val="A41D3E"/>
          <w:sz w:val="20"/>
          <w:szCs w:val="20"/>
        </w:rPr>
      </w:pPr>
      <w:r w:rsidRPr="00F029C2">
        <w:rPr>
          <w:rFonts w:cstheme="minorHAnsi"/>
          <w:b/>
          <w:bCs/>
          <w:color w:val="A41D3E"/>
          <w:sz w:val="20"/>
          <w:szCs w:val="20"/>
        </w:rPr>
        <w:t xml:space="preserve">(Based on </w:t>
      </w:r>
      <w:r w:rsidR="008C60D0" w:rsidRPr="00F029C2">
        <w:rPr>
          <w:rFonts w:cstheme="minorHAnsi"/>
          <w:b/>
          <w:bCs/>
          <w:color w:val="A41D3E"/>
          <w:sz w:val="20"/>
          <w:szCs w:val="20"/>
        </w:rPr>
        <w:t xml:space="preserve">anticipated </w:t>
      </w:r>
      <w:r w:rsidRPr="00F029C2">
        <w:rPr>
          <w:rFonts w:cstheme="minorHAnsi"/>
          <w:b/>
          <w:bCs/>
          <w:color w:val="A41D3E"/>
          <w:sz w:val="20"/>
          <w:szCs w:val="20"/>
        </w:rPr>
        <w:t>government advice as at 07/07/20, to be updated as it changes)</w:t>
      </w:r>
    </w:p>
    <w:p w14:paraId="4AD6FE6D" w14:textId="77777777" w:rsidR="00B74308" w:rsidRPr="00F029C2" w:rsidRDefault="00B74308" w:rsidP="00D16E1B">
      <w:pPr>
        <w:pStyle w:val="ListParagraph"/>
        <w:ind w:left="0"/>
        <w:rPr>
          <w:rFonts w:cstheme="minorHAnsi"/>
          <w:i/>
          <w:iCs/>
          <w:color w:val="A41D3E"/>
          <w:sz w:val="24"/>
          <w:szCs w:val="24"/>
        </w:rPr>
      </w:pPr>
    </w:p>
    <w:p w14:paraId="6FC21D75" w14:textId="0D4760B7" w:rsidR="00CB4867" w:rsidRPr="00F029C2" w:rsidRDefault="00B74308" w:rsidP="00D16E1B">
      <w:pPr>
        <w:pStyle w:val="ListParagraph"/>
        <w:ind w:left="0"/>
        <w:rPr>
          <w:rFonts w:cstheme="minorHAnsi"/>
          <w:i/>
          <w:iCs/>
          <w:color w:val="990033"/>
          <w:sz w:val="24"/>
          <w:szCs w:val="24"/>
        </w:rPr>
      </w:pPr>
      <w:bookmarkStart w:id="0" w:name="_Hlk39756922"/>
      <w:r w:rsidRPr="00F029C2">
        <w:rPr>
          <w:rFonts w:cstheme="minorHAnsi"/>
          <w:i/>
          <w:iCs/>
          <w:color w:val="A41D3E"/>
          <w:sz w:val="24"/>
          <w:szCs w:val="24"/>
        </w:rPr>
        <w:t>Responsibility on businesses</w:t>
      </w:r>
    </w:p>
    <w:p w14:paraId="3A9752D3" w14:textId="46EB5B61" w:rsidR="00B74308" w:rsidRPr="00F029C2" w:rsidRDefault="00B74308" w:rsidP="00B74308">
      <w:pPr>
        <w:rPr>
          <w:rFonts w:cstheme="minorHAnsi"/>
        </w:rPr>
      </w:pPr>
      <w:bookmarkStart w:id="1" w:name="_Hlk39050377"/>
      <w:bookmarkEnd w:id="0"/>
      <w:r w:rsidRPr="00F029C2">
        <w:rPr>
          <w:rFonts w:cstheme="minorHAnsi"/>
        </w:rPr>
        <w:t>Businesses will shoulder primary responsibility for ensuring a safe return to work for their employees, and it remains the case that those who can work from home must continue to do so.</w:t>
      </w:r>
    </w:p>
    <w:p w14:paraId="13B5B4CD" w14:textId="3CE5E621" w:rsidR="00B74308" w:rsidRPr="00F029C2" w:rsidRDefault="00B74308" w:rsidP="00B74308">
      <w:pPr>
        <w:rPr>
          <w:rFonts w:cstheme="minorHAnsi"/>
        </w:rPr>
      </w:pPr>
      <w:r w:rsidRPr="00F029C2">
        <w:rPr>
          <w:rFonts w:cstheme="minorHAnsi"/>
        </w:rPr>
        <w:t xml:space="preserve">Any business with more than five employees must produce a written risk assessment of working conditions for their staff if they wish to reopen. </w:t>
      </w:r>
    </w:p>
    <w:p w14:paraId="1672B0C3" w14:textId="4473AB02" w:rsidR="00CB4867" w:rsidRPr="00F029C2" w:rsidRDefault="00B74308" w:rsidP="00B74308">
      <w:pPr>
        <w:pStyle w:val="ListParagraph"/>
        <w:ind w:left="0"/>
        <w:rPr>
          <w:rFonts w:cstheme="minorHAnsi"/>
        </w:rPr>
      </w:pPr>
      <w:r w:rsidRPr="00F029C2">
        <w:rPr>
          <w:rFonts w:cstheme="minorHAnsi"/>
        </w:rPr>
        <w:t xml:space="preserve">Shielded “extremely vulnerable” people will continue to need to work from home. Businesses must help non-shielded “vulnerable” people work from home where possible, or take extra care enforcing social distancing around them in the workplace. </w:t>
      </w:r>
    </w:p>
    <w:p w14:paraId="247442F2" w14:textId="55E0FF3C" w:rsidR="00B74308" w:rsidRPr="00F029C2" w:rsidRDefault="00B74308" w:rsidP="00B74308">
      <w:pPr>
        <w:pStyle w:val="ListParagraph"/>
        <w:ind w:left="0"/>
        <w:rPr>
          <w:rFonts w:cstheme="minorHAnsi"/>
        </w:rPr>
      </w:pPr>
    </w:p>
    <w:p w14:paraId="1F13BEE7" w14:textId="1A1D6B60" w:rsidR="00B74308" w:rsidRPr="00F029C2" w:rsidRDefault="00B74308" w:rsidP="00B74308">
      <w:pPr>
        <w:pStyle w:val="ListParagraph"/>
        <w:ind w:left="0"/>
        <w:rPr>
          <w:rFonts w:cstheme="minorHAnsi"/>
          <w:i/>
          <w:iCs/>
          <w:color w:val="990033"/>
          <w:sz w:val="24"/>
          <w:szCs w:val="24"/>
        </w:rPr>
      </w:pPr>
      <w:r w:rsidRPr="00F029C2">
        <w:rPr>
          <w:rFonts w:cstheme="minorHAnsi"/>
          <w:i/>
          <w:iCs/>
          <w:color w:val="A41D3E"/>
          <w:sz w:val="24"/>
          <w:szCs w:val="24"/>
        </w:rPr>
        <w:t>Anticipated guidance for all workplaces</w:t>
      </w:r>
    </w:p>
    <w:p w14:paraId="33AC9264" w14:textId="538F6D6C" w:rsidR="00B74308" w:rsidRPr="00F029C2" w:rsidRDefault="00B74308" w:rsidP="00B74308">
      <w:pPr>
        <w:pStyle w:val="ListParagraph"/>
        <w:ind w:left="0"/>
        <w:rPr>
          <w:rFonts w:cstheme="minorHAnsi"/>
        </w:rPr>
      </w:pPr>
    </w:p>
    <w:p w14:paraId="1A313200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Staggering arrival/departure times to reduce crowding in and out</w:t>
      </w:r>
    </w:p>
    <w:p w14:paraId="058A1873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Providing additional parking or bike racks</w:t>
      </w:r>
    </w:p>
    <w:p w14:paraId="198FD191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Reducing congestion, for example by having more entry points to the workplace.</w:t>
      </w:r>
    </w:p>
    <w:p w14:paraId="42FDE35F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One for entering the building and one for exiting if possible</w:t>
      </w:r>
    </w:p>
    <w:p w14:paraId="61097D05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Handwashing or hand sanitation at entry and exit points</w:t>
      </w:r>
    </w:p>
    <w:p w14:paraId="6ACD5E94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Alternatives to touch-based security devices such as keypads</w:t>
      </w:r>
    </w:p>
    <w:p w14:paraId="4735D1EA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Storage for staff clothes and bags</w:t>
      </w:r>
    </w:p>
    <w:p w14:paraId="2D6EFF87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Staff to change into work uniforms on site using appropriate facilities/changing areas</w:t>
      </w:r>
    </w:p>
    <w:p w14:paraId="3EEA66E5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Washing uniforms on site rather than at home</w:t>
      </w:r>
    </w:p>
    <w:p w14:paraId="0791C91A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Discouraging nonessential trips within buildings and sites</w:t>
      </w:r>
    </w:p>
    <w:p w14:paraId="6FF1006C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Reducing job and location rotation, for example, assigning employees to specific floors</w:t>
      </w:r>
    </w:p>
    <w:p w14:paraId="18E544B7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Introducing more one-way flow routes through buildings</w:t>
      </w:r>
    </w:p>
    <w:p w14:paraId="7B7DAE2D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Reducing maximum occupancy for lifts, providing hand sanitiser for the operation of lifts, and encouraging use of stairs</w:t>
      </w:r>
    </w:p>
    <w:p w14:paraId="7199EBE6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Regulating use of corridors, lifts, and staircases</w:t>
      </w:r>
    </w:p>
    <w:p w14:paraId="2F98CBBE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Reviewing layouts to allow staff to work further apart from each other</w:t>
      </w:r>
    </w:p>
    <w:p w14:paraId="388FF25F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Using floor tape or paint to mark areas to help staff maintain 2 metres</w:t>
      </w:r>
    </w:p>
    <w:p w14:paraId="322CD92D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Avoiding employees working face to face — working side by side or facing away from each other where possible</w:t>
      </w:r>
    </w:p>
    <w:p w14:paraId="3F8FDA3E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Using screens to create a physical barrier between people where appropriate</w:t>
      </w:r>
    </w:p>
    <w:p w14:paraId="7D7EBE29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Staggering break times to reduce pressure on the break rooms, using outside areas for breaks</w:t>
      </w:r>
    </w:p>
    <w:p w14:paraId="24CDB585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Using protective screening for staff in receptions or similar areas</w:t>
      </w:r>
    </w:p>
    <w:p w14:paraId="22375310" w14:textId="77777777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Reconfiguring seating and tables to maintain spacing and reduce face-to-face interactions</w:t>
      </w:r>
    </w:p>
    <w:p w14:paraId="4065A957" w14:textId="60BBDF66" w:rsidR="00B74308" w:rsidRPr="00F029C2" w:rsidRDefault="00B74308" w:rsidP="00B74308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 xml:space="preserve">Providing packaged meals or </w:t>
      </w:r>
      <w:proofErr w:type="gramStart"/>
      <w:r w:rsidRPr="00F029C2">
        <w:rPr>
          <w:rFonts w:cstheme="minorHAnsi"/>
        </w:rPr>
        <w:t>similar to</w:t>
      </w:r>
      <w:proofErr w:type="gramEnd"/>
      <w:r w:rsidRPr="00F029C2">
        <w:rPr>
          <w:rFonts w:cstheme="minorHAnsi"/>
        </w:rPr>
        <w:t xml:space="preserve"> avoid opening staff canteens</w:t>
      </w:r>
      <w:bookmarkEnd w:id="1"/>
    </w:p>
    <w:p w14:paraId="22763D6C" w14:textId="23540FAA" w:rsidR="008C60D0" w:rsidRPr="00F029C2" w:rsidRDefault="008C60D0" w:rsidP="008C60D0">
      <w:pPr>
        <w:rPr>
          <w:rFonts w:cstheme="minorHAnsi"/>
        </w:rPr>
      </w:pPr>
    </w:p>
    <w:p w14:paraId="1BBDD515" w14:textId="77777777" w:rsidR="008C60D0" w:rsidRPr="00F029C2" w:rsidRDefault="008C60D0" w:rsidP="008C60D0">
      <w:pPr>
        <w:pStyle w:val="ListParagraph"/>
        <w:ind w:left="0"/>
        <w:rPr>
          <w:rFonts w:cstheme="minorHAnsi"/>
          <w:i/>
          <w:iCs/>
          <w:color w:val="A41D3E"/>
          <w:sz w:val="24"/>
          <w:szCs w:val="24"/>
        </w:rPr>
      </w:pPr>
    </w:p>
    <w:p w14:paraId="2704C510" w14:textId="77777777" w:rsidR="008C60D0" w:rsidRPr="00F029C2" w:rsidRDefault="008C60D0" w:rsidP="008C60D0">
      <w:pPr>
        <w:pStyle w:val="ListParagraph"/>
        <w:ind w:left="0"/>
        <w:rPr>
          <w:rFonts w:cstheme="minorHAnsi"/>
          <w:i/>
          <w:iCs/>
          <w:color w:val="A41D3E"/>
          <w:sz w:val="24"/>
          <w:szCs w:val="24"/>
        </w:rPr>
      </w:pPr>
    </w:p>
    <w:p w14:paraId="20392986" w14:textId="1D106F03" w:rsidR="008C60D0" w:rsidRPr="00F029C2" w:rsidRDefault="008C60D0" w:rsidP="008C60D0">
      <w:pPr>
        <w:pStyle w:val="ListParagraph"/>
        <w:ind w:left="0"/>
        <w:rPr>
          <w:rFonts w:cstheme="minorHAnsi"/>
          <w:i/>
          <w:iCs/>
          <w:color w:val="990033"/>
          <w:sz w:val="24"/>
          <w:szCs w:val="24"/>
        </w:rPr>
      </w:pPr>
      <w:r w:rsidRPr="00F029C2">
        <w:rPr>
          <w:rFonts w:cstheme="minorHAnsi"/>
          <w:i/>
          <w:iCs/>
          <w:color w:val="A41D3E"/>
          <w:sz w:val="24"/>
          <w:szCs w:val="24"/>
        </w:rPr>
        <w:lastRenderedPageBreak/>
        <w:t>Anticipated guidance for office workers</w:t>
      </w:r>
    </w:p>
    <w:p w14:paraId="4BFAAEF4" w14:textId="77777777" w:rsidR="008C60D0" w:rsidRPr="00F029C2" w:rsidRDefault="008C60D0" w:rsidP="008C60D0">
      <w:pPr>
        <w:pStyle w:val="ListParagraph"/>
        <w:ind w:left="0"/>
        <w:rPr>
          <w:rFonts w:cstheme="minorHAnsi"/>
        </w:rPr>
      </w:pPr>
    </w:p>
    <w:p w14:paraId="027374D8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 xml:space="preserve">Office staff should work from home </w:t>
      </w:r>
      <w:proofErr w:type="gramStart"/>
      <w:r w:rsidRPr="00F029C2">
        <w:rPr>
          <w:rFonts w:cstheme="minorHAnsi"/>
        </w:rPr>
        <w:t>if at all possible</w:t>
      </w:r>
      <w:proofErr w:type="gramEnd"/>
      <w:r w:rsidRPr="00F029C2">
        <w:rPr>
          <w:rFonts w:cstheme="minorHAnsi"/>
        </w:rPr>
        <w:t>.</w:t>
      </w:r>
    </w:p>
    <w:p w14:paraId="6051F73C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Employees in roles critical for business can go in</w:t>
      </w:r>
    </w:p>
    <w:p w14:paraId="1D6C409D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Employees who cannot work from home due to home circumstances can go in</w:t>
      </w:r>
    </w:p>
    <w:p w14:paraId="1DCA7DC3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Planning for the minimum number of people needed on site</w:t>
      </w:r>
    </w:p>
    <w:p w14:paraId="5BFC23EB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Monitoring the wellbeing of employees who are working from home</w:t>
      </w:r>
    </w:p>
    <w:p w14:paraId="1BAB7C99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Keeping in touch with off-site employees including welfare, mental and physical health and personal security</w:t>
      </w:r>
    </w:p>
    <w:p w14:paraId="1DB734D7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Review layouts, line setups, or processes to let employees work further apart</w:t>
      </w:r>
    </w:p>
    <w:p w14:paraId="0BC56870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Arranging for employees to work side-by-side or facing away from each other</w:t>
      </w:r>
    </w:p>
    <w:p w14:paraId="67E3DD58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Screens to create a physical barrier between people</w:t>
      </w:r>
    </w:p>
    <w:p w14:paraId="01C34CF6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Floor tape or paint to mark areas to help employees keep to a 2-metre distance</w:t>
      </w:r>
    </w:p>
    <w:p w14:paraId="19D0D0E0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Avoiding use of hot desks and spaces</w:t>
      </w:r>
    </w:p>
    <w:p w14:paraId="78245A87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Limiting use of high-touch items and shared office equipment</w:t>
      </w:r>
    </w:p>
    <w:p w14:paraId="3454EDBD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Using remote working tools, to avoid in-person meetings</w:t>
      </w:r>
    </w:p>
    <w:p w14:paraId="3377A356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Avoiding transmission during meetings, avoiding sharing pens</w:t>
      </w:r>
    </w:p>
    <w:p w14:paraId="1BD51CCC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Only necessary participants should attend meetings</w:t>
      </w:r>
    </w:p>
    <w:p w14:paraId="7EC1437E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Hand sanitiser in meeting rooms</w:t>
      </w:r>
    </w:p>
    <w:p w14:paraId="5EFAA7AD" w14:textId="77777777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Holding meetings in well-ventilated rooms</w:t>
      </w:r>
    </w:p>
    <w:p w14:paraId="3D477FFF" w14:textId="6DA7C20B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Limiting or restricting occupancy in group interaction spaces</w:t>
      </w:r>
    </w:p>
    <w:p w14:paraId="6AE9A3AE" w14:textId="7B061BCC" w:rsidR="008C60D0" w:rsidRPr="00F029C2" w:rsidRDefault="008C60D0" w:rsidP="008C60D0">
      <w:pPr>
        <w:pStyle w:val="ListParagraph"/>
        <w:numPr>
          <w:ilvl w:val="0"/>
          <w:numId w:val="49"/>
        </w:numPr>
        <w:rPr>
          <w:rFonts w:cstheme="minorHAnsi"/>
        </w:rPr>
      </w:pPr>
      <w:r w:rsidRPr="00F029C2">
        <w:rPr>
          <w:rFonts w:cstheme="minorHAnsi"/>
        </w:rPr>
        <w:t>For areas where regular meetings take place, using floor signage to help people maintain social distancing</w:t>
      </w:r>
    </w:p>
    <w:sectPr w:rsidR="008C60D0" w:rsidRPr="00F029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55A39" w14:textId="77777777" w:rsidR="000C2CA1" w:rsidRDefault="000C2CA1" w:rsidP="00F06381">
      <w:pPr>
        <w:spacing w:after="0" w:line="240" w:lineRule="auto"/>
      </w:pPr>
      <w:r>
        <w:separator/>
      </w:r>
    </w:p>
  </w:endnote>
  <w:endnote w:type="continuationSeparator" w:id="0">
    <w:p w14:paraId="0153CBA0" w14:textId="77777777" w:rsidR="000C2CA1" w:rsidRDefault="000C2CA1" w:rsidP="00F0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88432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9E9534E" w14:textId="4ED8FE2F" w:rsidR="00FC3B52" w:rsidRPr="00FC3B52" w:rsidRDefault="00FC3B5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FC3B52">
          <w:rPr>
            <w:rFonts w:ascii="Arial" w:hAnsi="Arial" w:cs="Arial"/>
            <w:sz w:val="20"/>
            <w:szCs w:val="20"/>
          </w:rPr>
          <w:fldChar w:fldCharType="begin"/>
        </w:r>
        <w:r w:rsidRPr="00FC3B5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3B52">
          <w:rPr>
            <w:rFonts w:ascii="Arial" w:hAnsi="Arial" w:cs="Arial"/>
            <w:sz w:val="20"/>
            <w:szCs w:val="20"/>
          </w:rPr>
          <w:fldChar w:fldCharType="separate"/>
        </w:r>
        <w:r w:rsidRPr="00FC3B52">
          <w:rPr>
            <w:rFonts w:ascii="Arial" w:hAnsi="Arial" w:cs="Arial"/>
            <w:noProof/>
            <w:sz w:val="20"/>
            <w:szCs w:val="20"/>
          </w:rPr>
          <w:t>2</w:t>
        </w:r>
        <w:r w:rsidRPr="00FC3B5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EC4CE9A" w14:textId="5521F256" w:rsidR="00FC3B52" w:rsidRPr="00FC3B52" w:rsidRDefault="00FC3B5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159E2" w14:textId="77777777" w:rsidR="000C2CA1" w:rsidRDefault="000C2CA1" w:rsidP="00F06381">
      <w:pPr>
        <w:spacing w:after="0" w:line="240" w:lineRule="auto"/>
      </w:pPr>
      <w:r>
        <w:separator/>
      </w:r>
    </w:p>
  </w:footnote>
  <w:footnote w:type="continuationSeparator" w:id="0">
    <w:p w14:paraId="6FE0D309" w14:textId="77777777" w:rsidR="000C2CA1" w:rsidRDefault="000C2CA1" w:rsidP="00F0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19A48" w14:textId="0A21ED53" w:rsidR="00A34849" w:rsidRDefault="00A34849">
    <w:pPr>
      <w:pStyle w:val="Header"/>
    </w:pPr>
    <w:r w:rsidRPr="00F06381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529A4206" wp14:editId="0E010F35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69200" cy="825500"/>
          <wp:effectExtent l="0" t="0" r="0" b="0"/>
          <wp:wrapTight wrapText="bothSides">
            <wp:wrapPolygon edited="0">
              <wp:start x="0" y="0"/>
              <wp:lineTo x="0" y="12462"/>
              <wp:lineTo x="15765" y="15951"/>
              <wp:lineTo x="15765" y="16948"/>
              <wp:lineTo x="18918" y="20935"/>
              <wp:lineTo x="19516" y="20935"/>
              <wp:lineTo x="21528" y="20935"/>
              <wp:lineTo x="21528" y="0"/>
              <wp:lineTo x="0" y="0"/>
            </wp:wrapPolygon>
          </wp:wrapTight>
          <wp:docPr id="7" name="Picture 6" descr="Gate-One-PPT-Main-Backgrounds-1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ate-One-PPT-Main-Backgrounds-1-17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629"/>
                  <a:stretch/>
                </pic:blipFill>
                <pic:spPr bwMode="auto">
                  <a:xfrm>
                    <a:off x="0" y="0"/>
                    <a:ext cx="7573475" cy="8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ACB"/>
    <w:multiLevelType w:val="hybridMultilevel"/>
    <w:tmpl w:val="B5E6ED3E"/>
    <w:lvl w:ilvl="0" w:tplc="EEC00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8D9"/>
    <w:multiLevelType w:val="hybridMultilevel"/>
    <w:tmpl w:val="2918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5CA8"/>
    <w:multiLevelType w:val="hybridMultilevel"/>
    <w:tmpl w:val="BEEC1340"/>
    <w:lvl w:ilvl="0" w:tplc="C2E8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97A"/>
    <w:multiLevelType w:val="hybridMultilevel"/>
    <w:tmpl w:val="244CE79C"/>
    <w:lvl w:ilvl="0" w:tplc="0D049C0E">
      <w:start w:val="1"/>
      <w:numFmt w:val="decimal"/>
      <w:lvlText w:val="%1."/>
      <w:lvlJc w:val="left"/>
      <w:pPr>
        <w:ind w:left="720" w:hanging="360"/>
      </w:pPr>
      <w:rPr>
        <w:rFonts w:hint="default"/>
        <w:color w:val="A41D3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0749"/>
    <w:multiLevelType w:val="hybridMultilevel"/>
    <w:tmpl w:val="5448D906"/>
    <w:lvl w:ilvl="0" w:tplc="78D86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41D3E"/>
      </w:rPr>
    </w:lvl>
    <w:lvl w:ilvl="1" w:tplc="6AEA1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04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45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06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C0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8A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2C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29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BC4152"/>
    <w:multiLevelType w:val="hybridMultilevel"/>
    <w:tmpl w:val="6532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AF3977"/>
    <w:multiLevelType w:val="hybridMultilevel"/>
    <w:tmpl w:val="46C668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055D6"/>
    <w:multiLevelType w:val="hybridMultilevel"/>
    <w:tmpl w:val="98FC7B96"/>
    <w:lvl w:ilvl="0" w:tplc="68422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B5983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41D3E"/>
      </w:rPr>
    </w:lvl>
    <w:lvl w:ilvl="2" w:tplc="A29E2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41D3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6DDE"/>
    <w:multiLevelType w:val="hybridMultilevel"/>
    <w:tmpl w:val="50A4F5A0"/>
    <w:lvl w:ilvl="0" w:tplc="8D543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1C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9" w15:restartNumberingAfterBreak="0">
    <w:nsid w:val="197F5594"/>
    <w:multiLevelType w:val="hybridMultilevel"/>
    <w:tmpl w:val="C2C203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23683"/>
    <w:multiLevelType w:val="hybridMultilevel"/>
    <w:tmpl w:val="17F46772"/>
    <w:lvl w:ilvl="0" w:tplc="B57E297E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57065"/>
    <w:multiLevelType w:val="hybridMultilevel"/>
    <w:tmpl w:val="DD8E2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2E8CF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41D3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8795A"/>
    <w:multiLevelType w:val="hybridMultilevel"/>
    <w:tmpl w:val="65FC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02063"/>
    <w:multiLevelType w:val="hybridMultilevel"/>
    <w:tmpl w:val="81A87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7851AC"/>
    <w:multiLevelType w:val="hybridMultilevel"/>
    <w:tmpl w:val="EEC24F18"/>
    <w:lvl w:ilvl="0" w:tplc="C2E8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3743E"/>
    <w:multiLevelType w:val="hybridMultilevel"/>
    <w:tmpl w:val="FC3E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D35C0"/>
    <w:multiLevelType w:val="hybridMultilevel"/>
    <w:tmpl w:val="955A197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2AD4A13"/>
    <w:multiLevelType w:val="hybridMultilevel"/>
    <w:tmpl w:val="E860460C"/>
    <w:lvl w:ilvl="0" w:tplc="D3F29B9A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8A6D5B"/>
    <w:multiLevelType w:val="hybridMultilevel"/>
    <w:tmpl w:val="F144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E17FE"/>
    <w:multiLevelType w:val="hybridMultilevel"/>
    <w:tmpl w:val="42E6F3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175BB8"/>
    <w:multiLevelType w:val="hybridMultilevel"/>
    <w:tmpl w:val="017AF83E"/>
    <w:lvl w:ilvl="0" w:tplc="27007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3765"/>
    <w:multiLevelType w:val="hybridMultilevel"/>
    <w:tmpl w:val="29E6CD98"/>
    <w:lvl w:ilvl="0" w:tplc="D3F29B9A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367A"/>
    <w:multiLevelType w:val="hybridMultilevel"/>
    <w:tmpl w:val="6C440328"/>
    <w:lvl w:ilvl="0" w:tplc="61821352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3" w15:restartNumberingAfterBreak="0">
    <w:nsid w:val="40442F17"/>
    <w:multiLevelType w:val="hybridMultilevel"/>
    <w:tmpl w:val="792CFBF4"/>
    <w:lvl w:ilvl="0" w:tplc="C2E8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409D6"/>
    <w:multiLevelType w:val="hybridMultilevel"/>
    <w:tmpl w:val="2D9A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328B6"/>
    <w:multiLevelType w:val="hybridMultilevel"/>
    <w:tmpl w:val="31B0970C"/>
    <w:lvl w:ilvl="0" w:tplc="C2E8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12721"/>
    <w:multiLevelType w:val="hybridMultilevel"/>
    <w:tmpl w:val="BDFCEB60"/>
    <w:lvl w:ilvl="0" w:tplc="C2E8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7F9"/>
    <w:multiLevelType w:val="hybridMultilevel"/>
    <w:tmpl w:val="D3A0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34792"/>
    <w:multiLevelType w:val="hybridMultilevel"/>
    <w:tmpl w:val="1284D208"/>
    <w:lvl w:ilvl="0" w:tplc="FB3E0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22DDE"/>
    <w:multiLevelType w:val="hybridMultilevel"/>
    <w:tmpl w:val="5B8C6698"/>
    <w:lvl w:ilvl="0" w:tplc="463E1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D04E3"/>
    <w:multiLevelType w:val="hybridMultilevel"/>
    <w:tmpl w:val="508C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D82EF8"/>
    <w:multiLevelType w:val="hybridMultilevel"/>
    <w:tmpl w:val="25B01370"/>
    <w:lvl w:ilvl="0" w:tplc="1BFE4E10">
      <w:start w:val="1"/>
      <w:numFmt w:val="decimal"/>
      <w:lvlText w:val="%1."/>
      <w:lvlJc w:val="left"/>
      <w:pPr>
        <w:ind w:left="1440" w:hanging="360"/>
      </w:pPr>
      <w:rPr>
        <w:color w:val="A41D3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9176F6"/>
    <w:multiLevelType w:val="hybridMultilevel"/>
    <w:tmpl w:val="E716CC9A"/>
    <w:lvl w:ilvl="0" w:tplc="52EC8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B53DC"/>
    <w:multiLevelType w:val="hybridMultilevel"/>
    <w:tmpl w:val="27822542"/>
    <w:lvl w:ilvl="0" w:tplc="C2E8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1028E"/>
    <w:multiLevelType w:val="hybridMultilevel"/>
    <w:tmpl w:val="774C0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42433"/>
    <w:multiLevelType w:val="hybridMultilevel"/>
    <w:tmpl w:val="ED76600E"/>
    <w:lvl w:ilvl="0" w:tplc="235835B4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10561"/>
    <w:multiLevelType w:val="hybridMultilevel"/>
    <w:tmpl w:val="E556C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870C6"/>
    <w:multiLevelType w:val="hybridMultilevel"/>
    <w:tmpl w:val="79BEF2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11232"/>
    <w:multiLevelType w:val="hybridMultilevel"/>
    <w:tmpl w:val="86CC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523606"/>
    <w:multiLevelType w:val="hybridMultilevel"/>
    <w:tmpl w:val="8F205A34"/>
    <w:lvl w:ilvl="0" w:tplc="C2E8CFB8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0" w15:restartNumberingAfterBreak="0">
    <w:nsid w:val="68D46878"/>
    <w:multiLevelType w:val="hybridMultilevel"/>
    <w:tmpl w:val="3B269406"/>
    <w:lvl w:ilvl="0" w:tplc="C2E8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6679C"/>
    <w:multiLevelType w:val="hybridMultilevel"/>
    <w:tmpl w:val="365E0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B7F0E"/>
    <w:multiLevelType w:val="hybridMultilevel"/>
    <w:tmpl w:val="FAECC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E04C1A"/>
    <w:multiLevelType w:val="hybridMultilevel"/>
    <w:tmpl w:val="8E88A3EC"/>
    <w:lvl w:ilvl="0" w:tplc="8648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1D3E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41D3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D0933"/>
    <w:multiLevelType w:val="hybridMultilevel"/>
    <w:tmpl w:val="103A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3574D"/>
    <w:multiLevelType w:val="hybridMultilevel"/>
    <w:tmpl w:val="3CC60228"/>
    <w:lvl w:ilvl="0" w:tplc="20A4AA86">
      <w:start w:val="1"/>
      <w:numFmt w:val="decimal"/>
      <w:lvlText w:val="%1."/>
      <w:lvlJc w:val="left"/>
      <w:pPr>
        <w:ind w:left="720" w:hanging="360"/>
      </w:pPr>
      <w:rPr>
        <w:rFonts w:hint="default"/>
        <w:color w:val="A41D3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D4D85"/>
    <w:multiLevelType w:val="hybridMultilevel"/>
    <w:tmpl w:val="4A56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F2A38"/>
    <w:multiLevelType w:val="hybridMultilevel"/>
    <w:tmpl w:val="A4B66854"/>
    <w:lvl w:ilvl="0" w:tplc="89482C18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30218"/>
    <w:multiLevelType w:val="hybridMultilevel"/>
    <w:tmpl w:val="22BC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2"/>
  </w:num>
  <w:num w:numId="4">
    <w:abstractNumId w:val="10"/>
  </w:num>
  <w:num w:numId="5">
    <w:abstractNumId w:val="8"/>
  </w:num>
  <w:num w:numId="6">
    <w:abstractNumId w:val="35"/>
  </w:num>
  <w:num w:numId="7">
    <w:abstractNumId w:val="9"/>
  </w:num>
  <w:num w:numId="8">
    <w:abstractNumId w:val="47"/>
  </w:num>
  <w:num w:numId="9">
    <w:abstractNumId w:val="7"/>
  </w:num>
  <w:num w:numId="10">
    <w:abstractNumId w:val="43"/>
  </w:num>
  <w:num w:numId="11">
    <w:abstractNumId w:val="28"/>
  </w:num>
  <w:num w:numId="12">
    <w:abstractNumId w:val="20"/>
  </w:num>
  <w:num w:numId="13">
    <w:abstractNumId w:val="29"/>
  </w:num>
  <w:num w:numId="14">
    <w:abstractNumId w:val="15"/>
  </w:num>
  <w:num w:numId="15">
    <w:abstractNumId w:val="48"/>
  </w:num>
  <w:num w:numId="16">
    <w:abstractNumId w:val="16"/>
  </w:num>
  <w:num w:numId="17">
    <w:abstractNumId w:val="33"/>
  </w:num>
  <w:num w:numId="18">
    <w:abstractNumId w:val="37"/>
  </w:num>
  <w:num w:numId="19">
    <w:abstractNumId w:val="26"/>
  </w:num>
  <w:num w:numId="20">
    <w:abstractNumId w:val="11"/>
  </w:num>
  <w:num w:numId="21">
    <w:abstractNumId w:val="40"/>
  </w:num>
  <w:num w:numId="22">
    <w:abstractNumId w:val="23"/>
  </w:num>
  <w:num w:numId="23">
    <w:abstractNumId w:val="39"/>
  </w:num>
  <w:num w:numId="24">
    <w:abstractNumId w:val="14"/>
  </w:num>
  <w:num w:numId="25">
    <w:abstractNumId w:val="2"/>
  </w:num>
  <w:num w:numId="26">
    <w:abstractNumId w:val="4"/>
  </w:num>
  <w:num w:numId="27">
    <w:abstractNumId w:val="25"/>
  </w:num>
  <w:num w:numId="28">
    <w:abstractNumId w:val="1"/>
  </w:num>
  <w:num w:numId="29">
    <w:abstractNumId w:val="3"/>
  </w:num>
  <w:num w:numId="30">
    <w:abstractNumId w:val="6"/>
  </w:num>
  <w:num w:numId="31">
    <w:abstractNumId w:val="46"/>
  </w:num>
  <w:num w:numId="32">
    <w:abstractNumId w:val="18"/>
  </w:num>
  <w:num w:numId="33">
    <w:abstractNumId w:val="32"/>
  </w:num>
  <w:num w:numId="34">
    <w:abstractNumId w:val="44"/>
  </w:num>
  <w:num w:numId="35">
    <w:abstractNumId w:val="36"/>
  </w:num>
  <w:num w:numId="36">
    <w:abstractNumId w:val="45"/>
  </w:num>
  <w:num w:numId="37">
    <w:abstractNumId w:val="19"/>
  </w:num>
  <w:num w:numId="38">
    <w:abstractNumId w:val="38"/>
  </w:num>
  <w:num w:numId="39">
    <w:abstractNumId w:val="5"/>
  </w:num>
  <w:num w:numId="40">
    <w:abstractNumId w:val="42"/>
  </w:num>
  <w:num w:numId="41">
    <w:abstractNumId w:val="21"/>
  </w:num>
  <w:num w:numId="42">
    <w:abstractNumId w:val="30"/>
  </w:num>
  <w:num w:numId="43">
    <w:abstractNumId w:val="13"/>
  </w:num>
  <w:num w:numId="44">
    <w:abstractNumId w:val="31"/>
  </w:num>
  <w:num w:numId="45">
    <w:abstractNumId w:val="17"/>
  </w:num>
  <w:num w:numId="46">
    <w:abstractNumId w:val="34"/>
  </w:num>
  <w:num w:numId="47">
    <w:abstractNumId w:val="12"/>
  </w:num>
  <w:num w:numId="48">
    <w:abstractNumId w:val="2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6"/>
    <w:rsid w:val="0000642F"/>
    <w:rsid w:val="000467E9"/>
    <w:rsid w:val="000906C9"/>
    <w:rsid w:val="000C2CA1"/>
    <w:rsid w:val="000E0507"/>
    <w:rsid w:val="00150D36"/>
    <w:rsid w:val="001836B6"/>
    <w:rsid w:val="001A02AA"/>
    <w:rsid w:val="001A597F"/>
    <w:rsid w:val="001C0ABC"/>
    <w:rsid w:val="00224896"/>
    <w:rsid w:val="00224A3A"/>
    <w:rsid w:val="00225030"/>
    <w:rsid w:val="00225067"/>
    <w:rsid w:val="00235314"/>
    <w:rsid w:val="00240AB0"/>
    <w:rsid w:val="0024780D"/>
    <w:rsid w:val="00283BE1"/>
    <w:rsid w:val="002A52CB"/>
    <w:rsid w:val="002D0D79"/>
    <w:rsid w:val="002F7DE5"/>
    <w:rsid w:val="00314EAF"/>
    <w:rsid w:val="0040194B"/>
    <w:rsid w:val="004100E3"/>
    <w:rsid w:val="0044490F"/>
    <w:rsid w:val="00456801"/>
    <w:rsid w:val="004A18B0"/>
    <w:rsid w:val="00504AF0"/>
    <w:rsid w:val="00555DBE"/>
    <w:rsid w:val="00571BC3"/>
    <w:rsid w:val="005B412A"/>
    <w:rsid w:val="005E0BB9"/>
    <w:rsid w:val="005F2826"/>
    <w:rsid w:val="006455B2"/>
    <w:rsid w:val="006530B4"/>
    <w:rsid w:val="00656531"/>
    <w:rsid w:val="00665B65"/>
    <w:rsid w:val="00670A84"/>
    <w:rsid w:val="00700F00"/>
    <w:rsid w:val="00707043"/>
    <w:rsid w:val="00722976"/>
    <w:rsid w:val="00750013"/>
    <w:rsid w:val="00753D33"/>
    <w:rsid w:val="00771E5C"/>
    <w:rsid w:val="007F3031"/>
    <w:rsid w:val="00831A5D"/>
    <w:rsid w:val="008348B5"/>
    <w:rsid w:val="00852AD8"/>
    <w:rsid w:val="008C60D0"/>
    <w:rsid w:val="008E2DEE"/>
    <w:rsid w:val="008E5992"/>
    <w:rsid w:val="009013EE"/>
    <w:rsid w:val="00904025"/>
    <w:rsid w:val="00906B37"/>
    <w:rsid w:val="00920E2D"/>
    <w:rsid w:val="00994061"/>
    <w:rsid w:val="009A3D9A"/>
    <w:rsid w:val="009B7D51"/>
    <w:rsid w:val="00A34849"/>
    <w:rsid w:val="00AC4974"/>
    <w:rsid w:val="00B138DA"/>
    <w:rsid w:val="00B16AC1"/>
    <w:rsid w:val="00B54B72"/>
    <w:rsid w:val="00B74308"/>
    <w:rsid w:val="00B90536"/>
    <w:rsid w:val="00BA3D65"/>
    <w:rsid w:val="00BE3847"/>
    <w:rsid w:val="00C05BF0"/>
    <w:rsid w:val="00C05EC5"/>
    <w:rsid w:val="00CB29BE"/>
    <w:rsid w:val="00CB4867"/>
    <w:rsid w:val="00CD0735"/>
    <w:rsid w:val="00D16E1B"/>
    <w:rsid w:val="00D7576E"/>
    <w:rsid w:val="00D7607E"/>
    <w:rsid w:val="00DA240C"/>
    <w:rsid w:val="00E07468"/>
    <w:rsid w:val="00E60815"/>
    <w:rsid w:val="00EC1FFA"/>
    <w:rsid w:val="00EC77F3"/>
    <w:rsid w:val="00ED6C2D"/>
    <w:rsid w:val="00ED6E1D"/>
    <w:rsid w:val="00EE6B58"/>
    <w:rsid w:val="00F029C2"/>
    <w:rsid w:val="00F05A3D"/>
    <w:rsid w:val="00F06381"/>
    <w:rsid w:val="00F1735B"/>
    <w:rsid w:val="00F30D2A"/>
    <w:rsid w:val="00F8624A"/>
    <w:rsid w:val="00F9441D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8FC17"/>
  <w15:chartTrackingRefBased/>
  <w15:docId w15:val="{428E4AF0-0212-4552-BB54-4172F026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22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81"/>
  </w:style>
  <w:style w:type="paragraph" w:styleId="Footer">
    <w:name w:val="footer"/>
    <w:basedOn w:val="Normal"/>
    <w:link w:val="FooterChar"/>
    <w:uiPriority w:val="99"/>
    <w:unhideWhenUsed/>
    <w:rsid w:val="00F06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81"/>
  </w:style>
  <w:style w:type="character" w:customStyle="1" w:styleId="ListParagraphChar">
    <w:name w:val="List Paragraph Char"/>
    <w:link w:val="ListParagraph"/>
    <w:uiPriority w:val="34"/>
    <w:locked/>
    <w:rsid w:val="00555DBE"/>
  </w:style>
  <w:style w:type="paragraph" w:styleId="NormalWeb">
    <w:name w:val="Normal (Web)"/>
    <w:basedOn w:val="Normal"/>
    <w:uiPriority w:val="99"/>
    <w:semiHidden/>
    <w:unhideWhenUsed/>
    <w:rsid w:val="00CD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E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BE1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862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9640-FBBB-4C10-A7C4-7E85BBB0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Kennell</dc:creator>
  <cp:keywords/>
  <dc:description/>
  <cp:lastModifiedBy>Kirsten Hackett</cp:lastModifiedBy>
  <cp:revision>2</cp:revision>
  <cp:lastPrinted>2019-05-03T10:51:00Z</cp:lastPrinted>
  <dcterms:created xsi:type="dcterms:W3CDTF">2020-05-07T15:40:00Z</dcterms:created>
  <dcterms:modified xsi:type="dcterms:W3CDTF">2020-05-07T15:40:00Z</dcterms:modified>
</cp:coreProperties>
</file>